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 L'ATENCIÓ DE L'AJUNTAMENT DE SANT CUGAT DEL VALLÈS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br w:type="textWrapping"/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En/na _____________________________________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amb DNI</w:t>
      </w:r>
      <w:r w:rsidDel="00000000" w:rsidR="00000000" w:rsidRPr="00000000">
        <w:rPr>
          <w:sz w:val="24"/>
          <w:szCs w:val="24"/>
          <w:rtl w:val="0"/>
        </w:rPr>
        <w:t xml:space="preserve"> __________________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 i domicili a l'efecte de</w:t>
      </w:r>
      <w:r w:rsidDel="00000000" w:rsidR="00000000" w:rsidRPr="00000000">
        <w:rPr>
          <w:sz w:val="24"/>
          <w:szCs w:val="24"/>
          <w:rtl w:val="0"/>
        </w:rPr>
        <w:t xml:space="preserve"> n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otificacions al carrer</w:t>
      </w:r>
      <w:r w:rsidDel="00000000" w:rsidR="00000000" w:rsidRPr="00000000">
        <w:rPr>
          <w:sz w:val="24"/>
          <w:szCs w:val="24"/>
          <w:rtl w:val="0"/>
        </w:rPr>
        <w:t xml:space="preserve"> ____________________________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 de Sant Cugat del Vallès, amb </w:t>
      </w:r>
      <w:r w:rsidDel="00000000" w:rsidR="00000000" w:rsidRPr="00000000">
        <w:rPr>
          <w:sz w:val="24"/>
          <w:szCs w:val="24"/>
          <w:rtl w:val="0"/>
        </w:rPr>
        <w:t xml:space="preserve">codi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postal __________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formula les següents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AL·LEGACIONS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Ha rebut,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a través de l’Organisme de Gestió Tributària de la Diputació de Barcelona, </w:t>
      </w:r>
      <w:r w:rsidDel="00000000" w:rsidR="00000000" w:rsidRPr="00000000">
        <w:rPr>
          <w:sz w:val="24"/>
          <w:szCs w:val="24"/>
          <w:rtl w:val="0"/>
        </w:rPr>
        <w:t xml:space="preserve">la liquidació de l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Taxa per a la prestació del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servei de gestió de residus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municipals domèstics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corresponent a l'exercici 2025, notificada amb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número d'abonaré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sz w:val="24"/>
          <w:szCs w:val="24"/>
          <w:rtl w:val="0"/>
        </w:rPr>
        <w:t xml:space="preserve"> ________________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a partir d’aquest </w:t>
      </w:r>
      <w:r w:rsidDel="00000000" w:rsidR="00000000" w:rsidRPr="00000000">
        <w:rPr>
          <w:sz w:val="24"/>
          <w:szCs w:val="24"/>
          <w:rtl w:val="0"/>
        </w:rPr>
        <w:t xml:space="preserve">liquidació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EXPOSA: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right="0"/>
        <w:jc w:val="both"/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PRIMER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. Que la taxa aplicada no s'ajusta al principi de proporcionalitat i de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qui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contamina paga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recollit en la Directiva (UE) 2018/851, per la qual es modifica la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Directiva 2008/98/CE sobre els residus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720" w:right="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Article 8 bis. Responsabilitat ampliada del productor: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“Els règims de responsabilitat ampliada del productor hauran de definir clarament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les funcions i responsabilitats de tots els agents, inclosos els productors de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productes, les organitzacions que actuen en nom dels productors, els operadors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de gestió de residus, les autoritats locals i, quan escaigui, els agents socials.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Els costos de la gestió dels residus hauran de suportar-se d'acord amb el principi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de ‘qui contamina paga’.”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Així mateix, vulnera l'article 11 de la Llei 7/2022, de 8 d'abril, de residus i sòls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contaminats per a una economia circular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720" w:right="0" w:firstLine="0"/>
        <w:jc w:val="both"/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Article 11. Principis de la política de residus: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“Les polítiques i mesures en matèria de residus hauran d'inspirar-se en els principis d'economia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circular, prevenció, responsabilitat ampliada del productor, jerarquia de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residus i qui contamina paga.”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Sense arribar a sistemes a partir </w:t>
      </w: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el volum i qualitat de separació de residus que genera cada família, que ja es comencen a aplicar a altres països i que són els que la normativa europea persegueix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existeixen altres criteris més </w:t>
      </w:r>
      <w:r w:rsidDel="00000000" w:rsidR="00000000" w:rsidRPr="00000000">
        <w:rPr>
          <w:sz w:val="24"/>
          <w:szCs w:val="24"/>
          <w:rtl w:val="0"/>
        </w:rPr>
        <w:t xml:space="preserve">proporcionals a la generació de residus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que no pas el valor cadastral</w:t>
      </w:r>
      <w:r w:rsidDel="00000000" w:rsidR="00000000" w:rsidRPr="00000000">
        <w:rPr>
          <w:sz w:val="24"/>
          <w:szCs w:val="24"/>
          <w:rtl w:val="0"/>
        </w:rPr>
        <w:t xml:space="preserve"> per a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calcular aquesta taxa. Per exemple una </w:t>
      </w:r>
      <w:r w:rsidDel="00000000" w:rsidR="00000000" w:rsidRPr="00000000">
        <w:rPr>
          <w:sz w:val="24"/>
          <w:szCs w:val="24"/>
          <w:rtl w:val="0"/>
        </w:rPr>
        <w:t xml:space="preserve">combinació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l nombre de residents d’un domicili</w:t>
      </w:r>
      <w:r w:rsidDel="00000000" w:rsidR="00000000" w:rsidRPr="00000000">
        <w:rPr>
          <w:sz w:val="24"/>
          <w:szCs w:val="24"/>
          <w:rtl w:val="0"/>
        </w:rPr>
        <w:t xml:space="preserve">, el metres quadrats de l'habitatge i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el tipus de recollida i, per tant, de separació dels residus.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SEGON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. Que el criteri de càlcul basat en el valor cadastral de l'immoble manca de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relació directa amb el servei efectivament prestat, vulnerant els articles 24 i 25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del Text Refós de la Llei Reguladora de les Hisendes Locals (Reial decret legislatiu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2/2004, de 5 de març):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720" w:right="0" w:firstLine="0"/>
        <w:jc w:val="both"/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Article 24. Taxes: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“Les entitats locals podran establir taxes per la utilització privativa o l'aprofitament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especial del domini públic local, així com per la prestació de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serveis públics o la realització d'activitats administratives de competència local</w:t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que beneficiïn de mode particular als subjectes passius.”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br w:type="textWrapping"/>
      </w:r>
      <w:r w:rsidDel="00000000" w:rsidR="00000000" w:rsidRPr="00000000">
        <w:rPr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Article 25. Quantia de les taxes: “L'import de les taxes per la prestació d'un servei o per la realització d'una activitat no podrà excedir, en conjunt, del cost real o previsible del servei o activitat de què es tracti.”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TERCER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. Que la falta de transparència en la memòria econòmica que sustenta la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quantia de la taxa impedeix verificar si aquesta reflecteix el cost real i desglossat del servei,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contravenint els principis de publicitat i suficiència financera conforme a l'article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31.2 de la Constitució espanyola i l'article 25 del</w:t>
      </w:r>
      <w:r w:rsidDel="00000000" w:rsidR="00000000" w:rsidRPr="00000000">
        <w:rPr>
          <w:sz w:val="24"/>
          <w:szCs w:val="24"/>
          <w:rtl w:val="0"/>
        </w:rPr>
        <w:t xml:space="preserve"> text refòs de la LLei de les Hisendes Locals.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QUART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. Que la taxa que ara s’implanta constitueix una mena de doble imposició. El servei no és nou, ja es duia a terme i es pagava a través dels impostos municipals preexistents. Per tant, la creació d’una nova taxa per un servei ja existent i </w:t>
      </w:r>
      <w:r w:rsidDel="00000000" w:rsidR="00000000" w:rsidRPr="00000000">
        <w:rPr>
          <w:sz w:val="24"/>
          <w:szCs w:val="24"/>
          <w:rtl w:val="0"/>
        </w:rPr>
        <w:t xml:space="preserve">pel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al qual ja es recaptaven impostos, suposa que el ciutadà paga pel servei dues vegades.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PER TOT AIXÒ, SOL·LICITA: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1. Que es revisi la liquidació de la taxa i es procedeixi a la seva anul·lació o modificació mentre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no es justifiqui adequadament el cost real i la proporcionalitat del servei.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2. Que s'estudiï la implantació d'un sistema de tarifació més proporcional a la generació real de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residus o de bonificacions ambientals conforme a la Directiva Europea 2018/851 i a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la Llei 7/2022.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</w:rPr>
      </w:pPr>
      <w:bookmarkStart w:colFirst="0" w:colLast="0" w:name="_heading=h.goxq119j2cia" w:id="0"/>
      <w:bookmarkEnd w:id="0"/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3. Que,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en qualsevol cas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, sigui quina sigui</w:t>
      </w:r>
      <w:r w:rsidDel="00000000" w:rsidR="00000000" w:rsidRPr="00000000">
        <w:rPr>
          <w:sz w:val="24"/>
          <w:szCs w:val="24"/>
          <w:rtl w:val="0"/>
        </w:rPr>
        <w:t xml:space="preserve"> la fòrmula d’aplicació de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la taxa, prenent, o no, en consideració les qüestions esmentades,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es redueixi dels impostos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municipals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amb els quals es feia front a les despeses del servei que s'anava prestant, en principi l’IBI,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de manera immediata, simultània amb la implantació de la nova taxa i permanent la quantitat corresponent al pagament liquidat l’any 2025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que en el meu cas és de ___________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€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,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perquè en altre cas s’estaria </w:t>
      </w:r>
      <w:r w:rsidDel="00000000" w:rsidR="00000000" w:rsidRPr="00000000">
        <w:rPr>
          <w:sz w:val="24"/>
          <w:szCs w:val="24"/>
          <w:rtl w:val="0"/>
        </w:rPr>
        <w:t xml:space="preserve">aplicant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per un mateix servei una doble tributació (un impost i una taxa).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   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4. Que es comuniqui al recurrent la resolució que s'adopti.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 Sant Cugat del Vallès a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Signatura____________________________________________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center"/>
        <w:rPr>
          <w:color w:val="999999"/>
          <w:sz w:val="24"/>
          <w:szCs w:val="24"/>
        </w:rPr>
      </w:pPr>
      <w:r w:rsidDel="00000000" w:rsidR="00000000" w:rsidRPr="00000000">
        <w:rPr>
          <w:color w:val="999999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color w:val="999999"/>
          <w:sz w:val="24"/>
          <w:szCs w:val="24"/>
        </w:rPr>
      </w:pPr>
      <w:r w:rsidDel="00000000" w:rsidR="00000000" w:rsidRPr="00000000">
        <w:rPr>
          <w:color w:val="999999"/>
          <w:sz w:val="24"/>
          <w:szCs w:val="24"/>
          <w:rtl w:val="0"/>
        </w:rPr>
        <w:t xml:space="preserve">Des de l’</w:t>
      </w:r>
      <w:r w:rsidDel="00000000" w:rsidR="00000000" w:rsidRPr="00000000">
        <w:rPr>
          <w:b w:val="1"/>
          <w:bCs w:val="1"/>
          <w:color w:val="999999"/>
          <w:sz w:val="24"/>
          <w:szCs w:val="24"/>
          <w:rtl w:val="0"/>
        </w:rPr>
        <w:t xml:space="preserve">Associació Veïnat Progressista de Valldoreix</w:t>
      </w:r>
      <w:r w:rsidDel="00000000" w:rsidR="00000000" w:rsidRPr="00000000">
        <w:rPr>
          <w:color w:val="999999"/>
          <w:sz w:val="24"/>
          <w:szCs w:val="24"/>
          <w:rtl w:val="0"/>
        </w:rPr>
        <w:t xml:space="preserve"> us hem preparat aquest document per tal que, si ho considereu oportú, el pugueu presentar a l'Ajuntament de Sant Cugat, si voleu també el podeu presentar a través de l’EMD de Valldoreix. L’heu d’enviar havent pagat el rebut, heu d’emplenar els espais buits, l’heu de datar i signar al final. Al domicili heu de posar carrer, número, pis, porta, etc. Al número d’abonaré poseu-hi el “NUM ABONARÉ” que us apareix al document de pagament adjunt a la notificació.</w:t>
      </w:r>
      <w:r w:rsidDel="00000000" w:rsidR="00000000" w:rsidRPr="00000000">
        <w:drawing>
          <wp:anchor allowOverlap="1" behindDoc="0" distB="19050" distT="19050" distL="19050" distR="144000" hidden="0" layoutInCell="1" locked="0" relativeHeight="0" simplePos="0">
            <wp:simplePos x="0" y="0"/>
            <wp:positionH relativeFrom="column">
              <wp:posOffset>-95249</wp:posOffset>
            </wp:positionH>
            <wp:positionV relativeFrom="paragraph">
              <wp:posOffset>209550</wp:posOffset>
            </wp:positionV>
            <wp:extent cx="2505075" cy="981075"/>
            <wp:effectExtent b="0" l="0" r="0" t="0"/>
            <wp:wrapSquare wrapText="bothSides" distB="19050" distT="19050" distL="19050" distR="1440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981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1133.8582677165355" w:top="1133.8582677165355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A0616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 w:val="1"/>
    <w:rsid w:val="00AD520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6pNIR7fGDAxnnGuX6nT9z26LtA==">CgMxLjAyDmguZ294cTExOWoyY2lhOAByITFiYUVnVm8xZFRrd1gydGlLdXlvalIxbnNDOW5YdnNITw==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2025-11-13T22:23:00Z</dcterms:created>
  <dc:creator>josegraupl</dc:creator>
</cp:coreProperties>
</file>